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169A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Times New Roman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Times New Roman"/>
          <w:bCs/>
          <w:sz w:val="48"/>
          <w:szCs w:val="48"/>
        </w:rPr>
        <w:t>专任教师</w:t>
      </w:r>
      <w:bookmarkStart w:id="0" w:name="_Hlk115073131"/>
      <w:r>
        <w:rPr>
          <w:rFonts w:hint="eastAsia" w:ascii="方正小标宋简体" w:hAnsi="方正小标宋简体" w:eastAsia="方正小标宋简体" w:cs="Times New Roman"/>
          <w:bCs/>
          <w:sz w:val="48"/>
          <w:szCs w:val="48"/>
        </w:rPr>
        <w:t>综合评价</w:t>
      </w:r>
      <w:bookmarkEnd w:id="0"/>
      <w:r>
        <w:rPr>
          <w:rFonts w:hint="eastAsia" w:ascii="方正小标宋简体" w:hAnsi="方正小标宋简体" w:eastAsia="方正小标宋简体" w:cs="Times New Roman"/>
          <w:bCs/>
          <w:sz w:val="48"/>
          <w:szCs w:val="48"/>
          <w:lang w:val="en-US" w:eastAsia="zh-CN"/>
        </w:rPr>
        <w:t>办法实施</w:t>
      </w:r>
      <w:r>
        <w:rPr>
          <w:rFonts w:hint="eastAsia" w:ascii="方正小标宋简体" w:hAnsi="方正小标宋简体" w:eastAsia="方正小标宋简体" w:cs="Times New Roman"/>
          <w:bCs/>
          <w:sz w:val="48"/>
          <w:szCs w:val="48"/>
        </w:rPr>
        <w:t>细则</w:t>
      </w:r>
    </w:p>
    <w:p w14:paraId="7ADD87BF">
      <w:pPr>
        <w:spacing w:line="580" w:lineRule="exact"/>
        <w:rPr>
          <w:rFonts w:ascii="黑体" w:hAnsi="黑体" w:eastAsia="黑体" w:cs="仿宋"/>
          <w:sz w:val="32"/>
          <w:szCs w:val="32"/>
        </w:rPr>
      </w:pPr>
    </w:p>
    <w:p w14:paraId="518BC8F6">
      <w:pPr>
        <w:spacing w:line="64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为贯彻落实中共中央国务院《深化新时代教育评价改革实施方案》，科学客观评价教师德、能、勤、绩各方面发展，有效调动教师不断加强自我修养，努力提高思想政治素质和师德师风水平，积极做好教学、科研、管理等各方面工作，依据《赤峰工业职业技术学院专人教师综合评价办法》，特制订本实施细则。</w:t>
      </w:r>
    </w:p>
    <w:p w14:paraId="28C41744">
      <w:pPr>
        <w:spacing w:line="64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一、评价范围</w:t>
      </w:r>
    </w:p>
    <w:p w14:paraId="73F1BE22">
      <w:pPr>
        <w:spacing w:line="6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评价范围为在编及签订正式劳动合同的专任教师（含实验实习指导教师）。</w:t>
      </w:r>
    </w:p>
    <w:p w14:paraId="33768E3B">
      <w:pPr>
        <w:spacing w:line="64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二、评价时间</w:t>
      </w:r>
    </w:p>
    <w:p w14:paraId="499557EC">
      <w:pPr>
        <w:spacing w:line="6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按学期统计，按年评分。</w:t>
      </w:r>
    </w:p>
    <w:p w14:paraId="78554492">
      <w:pPr>
        <w:spacing w:line="64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三、专任教师综合评价说明</w:t>
      </w:r>
    </w:p>
    <w:p w14:paraId="2DCB7FDD">
      <w:pPr>
        <w:spacing w:line="64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为方便统计、评分工作，专任教师综合评价采用“按学期统计，按年评分”的方式。</w:t>
      </w:r>
    </w:p>
    <w:p w14:paraId="4272CA44">
      <w:pPr>
        <w:spacing w:line="64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其中，思想政治学习与考核、教学工作量、教学质量、教研活动、教师培训等内容每半年统计一次，暑假开始前一周完成上半年统计，并将结果填写至《附件6：赤峰工业职业技术学院专任教师综合评价统计表》；寒假开始前一周完成下半年统计，并将结果填写至《附件6：赤峰工业职业技术学院专任教师综合评价统计表》。汇总上、下半年的结果填写至《附件7：赤峰工业职业技术学院专任教师综合评价汇总表》，并进行公示，公示无异议后上报学院。学院审核完毕后，全院进行公示。</w:t>
      </w:r>
    </w:p>
    <w:p w14:paraId="634F0591">
      <w:pPr>
        <w:spacing w:line="58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四、专任教师综合评价细则</w:t>
      </w:r>
    </w:p>
    <w:tbl>
      <w:tblPr>
        <w:tblStyle w:val="6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89"/>
        <w:gridCol w:w="687"/>
        <w:gridCol w:w="567"/>
        <w:gridCol w:w="1701"/>
        <w:gridCol w:w="8"/>
        <w:gridCol w:w="1990"/>
        <w:gridCol w:w="845"/>
        <w:gridCol w:w="1764"/>
        <w:gridCol w:w="771"/>
      </w:tblGrid>
      <w:tr w14:paraId="48C0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89" w:type="dxa"/>
            <w:vAlign w:val="center"/>
          </w:tcPr>
          <w:p w14:paraId="76E426D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评价</w:t>
            </w:r>
          </w:p>
          <w:p w14:paraId="3845E9F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内容</w:t>
            </w:r>
          </w:p>
        </w:tc>
        <w:tc>
          <w:tcPr>
            <w:tcW w:w="687" w:type="dxa"/>
            <w:vAlign w:val="center"/>
          </w:tcPr>
          <w:p w14:paraId="441D00B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内容</w:t>
            </w:r>
          </w:p>
          <w:p w14:paraId="07C15E8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分解</w:t>
            </w:r>
          </w:p>
        </w:tc>
        <w:tc>
          <w:tcPr>
            <w:tcW w:w="567" w:type="dxa"/>
            <w:vAlign w:val="center"/>
          </w:tcPr>
          <w:p w14:paraId="720413D5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分值</w:t>
            </w:r>
          </w:p>
        </w:tc>
        <w:tc>
          <w:tcPr>
            <w:tcW w:w="1701" w:type="dxa"/>
            <w:vAlign w:val="center"/>
          </w:tcPr>
          <w:p w14:paraId="38BA289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评价方式</w:t>
            </w:r>
          </w:p>
        </w:tc>
        <w:tc>
          <w:tcPr>
            <w:tcW w:w="1998" w:type="dxa"/>
            <w:gridSpan w:val="2"/>
            <w:vAlign w:val="center"/>
          </w:tcPr>
          <w:p w14:paraId="78A7601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评价办法</w:t>
            </w:r>
          </w:p>
        </w:tc>
        <w:tc>
          <w:tcPr>
            <w:tcW w:w="845" w:type="dxa"/>
            <w:vAlign w:val="center"/>
          </w:tcPr>
          <w:p w14:paraId="67BFBD4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各院部负责人</w:t>
            </w:r>
          </w:p>
        </w:tc>
        <w:tc>
          <w:tcPr>
            <w:tcW w:w="1764" w:type="dxa"/>
            <w:vAlign w:val="center"/>
          </w:tcPr>
          <w:p w14:paraId="263E77B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评价时间</w:t>
            </w:r>
          </w:p>
        </w:tc>
        <w:tc>
          <w:tcPr>
            <w:tcW w:w="771" w:type="dxa"/>
            <w:vAlign w:val="center"/>
          </w:tcPr>
          <w:p w14:paraId="6F34418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备注</w:t>
            </w:r>
          </w:p>
        </w:tc>
      </w:tr>
      <w:tr w14:paraId="46E9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89" w:type="dxa"/>
            <w:vMerge w:val="restart"/>
            <w:vAlign w:val="center"/>
          </w:tcPr>
          <w:p w14:paraId="47D0829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思想政治素质与师德师风</w:t>
            </w:r>
          </w:p>
          <w:p w14:paraId="4671302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(15分)</w:t>
            </w:r>
          </w:p>
        </w:tc>
        <w:tc>
          <w:tcPr>
            <w:tcW w:w="687" w:type="dxa"/>
            <w:vAlign w:val="center"/>
          </w:tcPr>
          <w:p w14:paraId="65EF9E59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思想政治学习与考核</w:t>
            </w:r>
          </w:p>
        </w:tc>
        <w:tc>
          <w:tcPr>
            <w:tcW w:w="567" w:type="dxa"/>
            <w:vAlign w:val="center"/>
          </w:tcPr>
          <w:p w14:paraId="07BD2FE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10</w:t>
            </w:r>
          </w:p>
        </w:tc>
        <w:tc>
          <w:tcPr>
            <w:tcW w:w="1701" w:type="dxa"/>
            <w:vAlign w:val="center"/>
          </w:tcPr>
          <w:p w14:paraId="4E61294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查阅《附件1：会议记录表》、《附件2：专任教师会议签到表》；以及学院要求的其他材料</w:t>
            </w:r>
          </w:p>
          <w:p w14:paraId="29443175"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注：政治、业务学习培训及集体活动依据学院要求，并结合系部实际需求，安排在周三下午。</w:t>
            </w:r>
          </w:p>
        </w:tc>
        <w:tc>
          <w:tcPr>
            <w:tcW w:w="1998" w:type="dxa"/>
            <w:gridSpan w:val="2"/>
            <w:vAlign w:val="center"/>
          </w:tcPr>
          <w:p w14:paraId="09D099FC"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每缺勤1次减0.5分（因公除外），减完5分为止。</w:t>
            </w:r>
          </w:p>
          <w:p w14:paraId="6C05D1F2"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若有测试，测试不合格减5分；若无测试，不减分。</w:t>
            </w:r>
          </w:p>
        </w:tc>
        <w:tc>
          <w:tcPr>
            <w:tcW w:w="845" w:type="dxa"/>
            <w:vAlign w:val="center"/>
          </w:tcPr>
          <w:p w14:paraId="2F31231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</w:t>
            </w:r>
          </w:p>
        </w:tc>
        <w:tc>
          <w:tcPr>
            <w:tcW w:w="1764" w:type="dxa"/>
            <w:vAlign w:val="center"/>
          </w:tcPr>
          <w:p w14:paraId="435F09B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每学期结束前一周完成本学期出勤统计，年末放假前一周评分完毕</w:t>
            </w:r>
          </w:p>
        </w:tc>
        <w:tc>
          <w:tcPr>
            <w:tcW w:w="771" w:type="dxa"/>
            <w:vAlign w:val="center"/>
          </w:tcPr>
          <w:p w14:paraId="03F075B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3E455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5" w:hRule="atLeast"/>
          <w:jc w:val="center"/>
        </w:trPr>
        <w:tc>
          <w:tcPr>
            <w:tcW w:w="589" w:type="dxa"/>
            <w:vMerge w:val="continue"/>
            <w:vAlign w:val="center"/>
          </w:tcPr>
          <w:p w14:paraId="734E8D2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4ECF6B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师德师风测评</w:t>
            </w:r>
          </w:p>
        </w:tc>
        <w:tc>
          <w:tcPr>
            <w:tcW w:w="567" w:type="dxa"/>
            <w:vAlign w:val="center"/>
          </w:tcPr>
          <w:p w14:paraId="5B0B15A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319F4A25"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依据教务处每学期统一组织的学生评教中师德师风结果，分数换算公式为：分数=</w:t>
            </w:r>
            <m:oMath>
              <m:f>
                <m:fPr>
                  <m:ctrlPr>
                    <w:rPr>
                      <w:rFonts w:ascii="Cambria Math" w:hAnsi="Cambria Math" w:eastAsia="仿宋" w:cs="仿宋"/>
                      <w:kern w:val="0"/>
                      <w:szCs w:val="21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仿宋" w:cs="仿宋"/>
                      <w:kern w:val="0"/>
                      <w:szCs w:val="21"/>
                    </w:rPr>
                    <m:t>5</m:t>
                  </m:r>
                  <m:ctrlPr>
                    <w:rPr>
                      <w:rFonts w:ascii="Cambria Math" w:hAnsi="Cambria Math" w:eastAsia="仿宋" w:cs="仿宋"/>
                      <w:kern w:val="0"/>
                      <w:szCs w:val="21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仿宋" w:cs="仿宋"/>
                      <w:kern w:val="0"/>
                      <w:szCs w:val="21"/>
                    </w:rPr>
                    <m:t>65</m:t>
                  </m:r>
                  <m:ctrlPr>
                    <w:rPr>
                      <w:rFonts w:ascii="Cambria Math" w:hAnsi="Cambria Math" w:eastAsia="仿宋" w:cs="仿宋"/>
                      <w:kern w:val="0"/>
                      <w:szCs w:val="21"/>
                    </w:rPr>
                  </m:ctrlPr>
                </m:den>
              </m:f>
              <m:r>
                <m:rPr/>
                <w:rPr>
                  <w:rFonts w:ascii="Cambria Math" w:hAnsi="Cambria Math" w:eastAsia="仿宋" w:cs="仿宋"/>
                  <w:kern w:val="0"/>
                  <w:szCs w:val="21"/>
                </w:rPr>
                <m:t>×</m:t>
              </m:r>
            </m:oMath>
            <w:r>
              <w:rPr>
                <w:rFonts w:hint="eastAsia" w:ascii="仿宋" w:hAnsi="仿宋" w:eastAsia="仿宋" w:cs="仿宋"/>
                <w:kern w:val="0"/>
                <w:szCs w:val="21"/>
              </w:rPr>
              <w:t>评教结果。若教师本学期无课且无违反师德师风情况，该项分数为合格分3分。</w:t>
            </w:r>
          </w:p>
        </w:tc>
        <w:tc>
          <w:tcPr>
            <w:tcW w:w="1998" w:type="dxa"/>
            <w:gridSpan w:val="2"/>
            <w:vAlign w:val="center"/>
          </w:tcPr>
          <w:p w14:paraId="3E74BD46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学生测评是在教师任教班级进行测评（多个任课班级的取平均值），是班主任的，同时在其管理的班级中进行测评（多个管理班级的取平均值）。</w:t>
            </w:r>
          </w:p>
        </w:tc>
        <w:tc>
          <w:tcPr>
            <w:tcW w:w="845" w:type="dxa"/>
            <w:vAlign w:val="center"/>
          </w:tcPr>
          <w:p w14:paraId="156E6A28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3CAA059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教务处每学期结束前两周统计完毕，并将结果按部门反馈至各院部，各院部指定专人负责分数核算。各院部年末放假前一周完成平均分计算</w:t>
            </w:r>
          </w:p>
        </w:tc>
        <w:tc>
          <w:tcPr>
            <w:tcW w:w="771" w:type="dxa"/>
            <w:vAlign w:val="center"/>
          </w:tcPr>
          <w:p w14:paraId="733F4339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4B9B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84" w:hRule="atLeast"/>
          <w:jc w:val="center"/>
        </w:trPr>
        <w:tc>
          <w:tcPr>
            <w:tcW w:w="589" w:type="dxa"/>
            <w:vMerge w:val="restart"/>
            <w:vAlign w:val="center"/>
          </w:tcPr>
          <w:p w14:paraId="75E5490F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教育</w:t>
            </w:r>
          </w:p>
          <w:p w14:paraId="74C1A29F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</w:t>
            </w:r>
          </w:p>
          <w:p w14:paraId="00ED0DAC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工作</w:t>
            </w:r>
          </w:p>
          <w:p w14:paraId="06855A35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(45分)</w:t>
            </w:r>
          </w:p>
        </w:tc>
        <w:tc>
          <w:tcPr>
            <w:tcW w:w="687" w:type="dxa"/>
            <w:vAlign w:val="center"/>
          </w:tcPr>
          <w:p w14:paraId="45C026E5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教育教学工作量</w:t>
            </w:r>
          </w:p>
        </w:tc>
        <w:tc>
          <w:tcPr>
            <w:tcW w:w="567" w:type="dxa"/>
            <w:vAlign w:val="center"/>
          </w:tcPr>
          <w:p w14:paraId="5300434F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30</w:t>
            </w:r>
          </w:p>
        </w:tc>
        <w:tc>
          <w:tcPr>
            <w:tcW w:w="1701" w:type="dxa"/>
            <w:vAlign w:val="center"/>
          </w:tcPr>
          <w:p w14:paraId="4F6BB56C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班主任情况统计依据学工处公示结果；</w:t>
            </w:r>
          </w:p>
          <w:p w14:paraId="7F568B2A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课时统计依据教务处公示结果。</w:t>
            </w:r>
          </w:p>
        </w:tc>
        <w:tc>
          <w:tcPr>
            <w:tcW w:w="1998" w:type="dxa"/>
            <w:gridSpan w:val="2"/>
            <w:vAlign w:val="center"/>
          </w:tcPr>
          <w:p w14:paraId="25B4869C">
            <w:pPr>
              <w:numPr>
                <w:ilvl w:val="0"/>
                <w:numId w:val="2"/>
              </w:num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担任班主任每半年加0.5分；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</w:t>
            </w:r>
          </w:p>
          <w:p w14:paraId="42BB11B4">
            <w:pPr>
              <w:numPr>
                <w:ilvl w:val="0"/>
                <w:numId w:val="2"/>
              </w:num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完成额定工作量得25分；</w:t>
            </w:r>
          </w:p>
          <w:p w14:paraId="715CBAD1">
            <w:pPr>
              <w:numPr>
                <w:ilvl w:val="0"/>
                <w:numId w:val="2"/>
              </w:num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未完成额定工作量的，按完成比例得分=实际工作量/额定工作量</w:t>
            </w:r>
            <w:r>
              <w:rPr>
                <w:rFonts w:ascii="Arial" w:hAnsi="Arial" w:eastAsia="仿宋" w:cs="Arial"/>
                <w:kern w:val="0"/>
                <w:szCs w:val="21"/>
              </w:rPr>
              <w:t>×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25。</w:t>
            </w:r>
          </w:p>
          <w:p w14:paraId="091D293B">
            <w:pPr>
              <w:numPr>
                <w:ilvl w:val="0"/>
                <w:numId w:val="2"/>
              </w:num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超工作量的，每超50学时加1分，</w:t>
            </w:r>
            <w:r>
              <w:rPr>
                <w:rFonts w:hint="eastAsia" w:ascii="Arial" w:hAnsi="Arial" w:eastAsia="仿宋" w:cs="Arial"/>
                <w:kern w:val="0"/>
                <w:szCs w:val="21"/>
              </w:rPr>
              <w:t>最高计4分。</w:t>
            </w:r>
          </w:p>
        </w:tc>
        <w:tc>
          <w:tcPr>
            <w:tcW w:w="845" w:type="dxa"/>
            <w:vAlign w:val="center"/>
          </w:tcPr>
          <w:p w14:paraId="22C9129F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班主任情况统计：各院部指定专人负责分数核算</w:t>
            </w:r>
          </w:p>
          <w:p w14:paraId="4F664FFC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</w:p>
          <w:p w14:paraId="4F19BC70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课时统计：各系部指定专人负责分数核算</w:t>
            </w:r>
          </w:p>
          <w:p w14:paraId="6C0E1B5C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346238A8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班主任情况：学工处每学期结束前两周统计完毕，并将结果按部门反馈至各院部，各院部指定专人负责分数核算。各院部年末放假前一周完成该项分数核算</w:t>
            </w:r>
          </w:p>
          <w:p w14:paraId="5E646DFA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</w:p>
          <w:p w14:paraId="25D92BC9">
            <w:pPr>
              <w:spacing w:line="300" w:lineRule="exac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课时情况：教务处每学期结束前两周统计完毕，并将结果按部门反馈至各院部，各院部指定专人负责分数核算。各院部年末放假前一周完成该项分数核算</w:t>
            </w:r>
          </w:p>
        </w:tc>
        <w:tc>
          <w:tcPr>
            <w:tcW w:w="771" w:type="dxa"/>
            <w:vAlign w:val="center"/>
          </w:tcPr>
          <w:p w14:paraId="6670220A"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含继续教育课时</w:t>
            </w:r>
          </w:p>
        </w:tc>
      </w:tr>
      <w:tr w14:paraId="155E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75" w:hRule="atLeast"/>
          <w:jc w:val="center"/>
        </w:trPr>
        <w:tc>
          <w:tcPr>
            <w:tcW w:w="589" w:type="dxa"/>
            <w:vMerge w:val="continue"/>
            <w:vAlign w:val="center"/>
          </w:tcPr>
          <w:p w14:paraId="4988F46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504C49A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</w:t>
            </w:r>
          </w:p>
          <w:p w14:paraId="52CABA2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</w:t>
            </w:r>
          </w:p>
        </w:tc>
        <w:tc>
          <w:tcPr>
            <w:tcW w:w="567" w:type="dxa"/>
            <w:vAlign w:val="center"/>
          </w:tcPr>
          <w:p w14:paraId="62175CF8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7585D1F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依据教师教学效果考核结果</w:t>
            </w:r>
          </w:p>
        </w:tc>
        <w:tc>
          <w:tcPr>
            <w:tcW w:w="1998" w:type="dxa"/>
            <w:gridSpan w:val="2"/>
            <w:vAlign w:val="center"/>
          </w:tcPr>
          <w:p w14:paraId="6DFB2F47">
            <w:pPr>
              <w:tabs>
                <w:tab w:val="left" w:pos="312"/>
              </w:tabs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1.教学效果考核一等得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.5分、二等得1.5分、三等得1分，最高累加至5分</w:t>
            </w:r>
          </w:p>
          <w:p w14:paraId="73494616">
            <w:pPr>
              <w:tabs>
                <w:tab w:val="left" w:pos="312"/>
              </w:tabs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2. 被认定为不合格课程，每门减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.5分，减完5分为止。</w:t>
            </w:r>
          </w:p>
        </w:tc>
        <w:tc>
          <w:tcPr>
            <w:tcW w:w="845" w:type="dxa"/>
            <w:vAlign w:val="center"/>
          </w:tcPr>
          <w:p w14:paraId="6E5B9CF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15D21C6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教务处每学期末学生成绩出来后一周内统计完毕，并将结果按部门反馈至各院部，各院部指定专人负责分数核算</w:t>
            </w:r>
          </w:p>
        </w:tc>
        <w:tc>
          <w:tcPr>
            <w:tcW w:w="771" w:type="dxa"/>
            <w:vAlign w:val="center"/>
          </w:tcPr>
          <w:p w14:paraId="180D0E2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3C73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6" w:hRule="atLeast"/>
          <w:jc w:val="center"/>
        </w:trPr>
        <w:tc>
          <w:tcPr>
            <w:tcW w:w="589" w:type="dxa"/>
            <w:vMerge w:val="continue"/>
            <w:vAlign w:val="center"/>
          </w:tcPr>
          <w:p w14:paraId="5CC68A7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0720628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</w:t>
            </w:r>
          </w:p>
          <w:p w14:paraId="70D601F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纪律</w:t>
            </w:r>
          </w:p>
        </w:tc>
        <w:tc>
          <w:tcPr>
            <w:tcW w:w="567" w:type="dxa"/>
            <w:vAlign w:val="center"/>
          </w:tcPr>
          <w:p w14:paraId="1649E50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7FEA8796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查阅学院公布的违反教学常规记录</w:t>
            </w:r>
          </w:p>
        </w:tc>
        <w:tc>
          <w:tcPr>
            <w:tcW w:w="1998" w:type="dxa"/>
            <w:gridSpan w:val="2"/>
            <w:vAlign w:val="center"/>
          </w:tcPr>
          <w:p w14:paraId="03D376C9">
            <w:pPr>
              <w:numPr>
                <w:ilvl w:val="0"/>
                <w:numId w:val="3"/>
              </w:num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全年无违反教学常规5分；</w:t>
            </w:r>
          </w:p>
          <w:p w14:paraId="36FE4BC1">
            <w:pPr>
              <w:numPr>
                <w:ilvl w:val="0"/>
                <w:numId w:val="3"/>
              </w:num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有重大违反教学常规、严重违反教学常规、一般违反教学常规记录的，每次分别扣3分、2分、1分，扣完5分为止。</w:t>
            </w:r>
          </w:p>
        </w:tc>
        <w:tc>
          <w:tcPr>
            <w:tcW w:w="845" w:type="dxa"/>
            <w:vAlign w:val="center"/>
          </w:tcPr>
          <w:p w14:paraId="6841668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3727E31C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教务处每学期结束前两周统计完毕，并将结果按部门反馈至各院部，各院部指定专人负责分数核算。各院部年末放假前一周完成该项分数核算</w:t>
            </w:r>
          </w:p>
        </w:tc>
        <w:tc>
          <w:tcPr>
            <w:tcW w:w="771" w:type="dxa"/>
            <w:vAlign w:val="center"/>
          </w:tcPr>
          <w:p w14:paraId="57DB92E9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5958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6" w:hRule="atLeast"/>
          <w:jc w:val="center"/>
        </w:trPr>
        <w:tc>
          <w:tcPr>
            <w:tcW w:w="589" w:type="dxa"/>
            <w:vMerge w:val="continue"/>
            <w:vAlign w:val="center"/>
          </w:tcPr>
          <w:p w14:paraId="531E681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41F4768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</w:t>
            </w:r>
          </w:p>
          <w:p w14:paraId="1597A89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建设</w:t>
            </w:r>
          </w:p>
        </w:tc>
        <w:tc>
          <w:tcPr>
            <w:tcW w:w="567" w:type="dxa"/>
            <w:vAlign w:val="center"/>
          </w:tcPr>
          <w:p w14:paraId="550F640C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61525ABA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依据教务处备案</w:t>
            </w:r>
          </w:p>
        </w:tc>
        <w:tc>
          <w:tcPr>
            <w:tcW w:w="1998" w:type="dxa"/>
            <w:gridSpan w:val="2"/>
            <w:vAlign w:val="center"/>
          </w:tcPr>
          <w:p w14:paraId="1A26C5FB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开展专业、学科、师资、实验（训）室、新型学徒制等教学建设，或教学改革，在教务处有备案，得2分，在此基础上，</w:t>
            </w:r>
            <w:r>
              <w:rPr>
                <w:rFonts w:hint="eastAsia" w:ascii="仿宋" w:hAnsi="仿宋" w:eastAsia="仿宋" w:cs="仿宋"/>
                <w:szCs w:val="21"/>
              </w:rPr>
              <w:t>国家级、区级、市级、院级项目，主持每项分别加5分、3分、1分、0.5分；参与分别加3分、2分、0.5分、0.2分。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本项目加满5分为止。</w:t>
            </w:r>
          </w:p>
        </w:tc>
        <w:tc>
          <w:tcPr>
            <w:tcW w:w="845" w:type="dxa"/>
            <w:vAlign w:val="center"/>
          </w:tcPr>
          <w:p w14:paraId="00D0CB3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341F22A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教务处年末放假前两周统计完毕，并将结果按部门反馈至各院部，各院部指定专人在年末放假前一周完成该项分数核算</w:t>
            </w:r>
          </w:p>
        </w:tc>
        <w:tc>
          <w:tcPr>
            <w:tcW w:w="771" w:type="dxa"/>
            <w:vAlign w:val="center"/>
          </w:tcPr>
          <w:p w14:paraId="294F1A9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B85D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589" w:type="dxa"/>
            <w:vMerge w:val="restart"/>
            <w:vAlign w:val="center"/>
          </w:tcPr>
          <w:p w14:paraId="2B28D5A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教研</w:t>
            </w:r>
          </w:p>
          <w:p w14:paraId="7B18F7F9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科研</w:t>
            </w:r>
          </w:p>
          <w:p w14:paraId="18BE0A7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(10分)</w:t>
            </w:r>
          </w:p>
        </w:tc>
        <w:tc>
          <w:tcPr>
            <w:tcW w:w="687" w:type="dxa"/>
            <w:vAlign w:val="center"/>
          </w:tcPr>
          <w:p w14:paraId="1825D2B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教研</w:t>
            </w:r>
          </w:p>
          <w:p w14:paraId="140B228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活动</w:t>
            </w:r>
          </w:p>
        </w:tc>
        <w:tc>
          <w:tcPr>
            <w:tcW w:w="567" w:type="dxa"/>
            <w:vAlign w:val="center"/>
          </w:tcPr>
          <w:p w14:paraId="5F8DC94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090AC306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查阅《附件3：赤峰工业职业技术学院教研活动记录表》、《附件4：赤峰工业职业技术学院教研活动签到表》。无特殊情况，每周三下午以教研室为单位开展教研活动。若在多个部门任课，参加一个部门的教研活动即可。系部按月上报教研活动记录（附带考勤表）。</w:t>
            </w:r>
          </w:p>
        </w:tc>
        <w:tc>
          <w:tcPr>
            <w:tcW w:w="1998" w:type="dxa"/>
            <w:gridSpan w:val="2"/>
            <w:vAlign w:val="center"/>
          </w:tcPr>
          <w:p w14:paraId="60B4BFF3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每缺1次教研活动减0.5分（因公除外），减完5分为止。</w:t>
            </w:r>
          </w:p>
        </w:tc>
        <w:tc>
          <w:tcPr>
            <w:tcW w:w="845" w:type="dxa"/>
            <w:vAlign w:val="center"/>
          </w:tcPr>
          <w:p w14:paraId="0ACDAD78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</w:t>
            </w:r>
          </w:p>
        </w:tc>
        <w:tc>
          <w:tcPr>
            <w:tcW w:w="1764" w:type="dxa"/>
            <w:vAlign w:val="center"/>
          </w:tcPr>
          <w:p w14:paraId="1686FF8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每学期结束前一周完成本学期出勤统计，年末放假前一周评分完毕</w:t>
            </w:r>
          </w:p>
        </w:tc>
        <w:tc>
          <w:tcPr>
            <w:tcW w:w="771" w:type="dxa"/>
            <w:vAlign w:val="center"/>
          </w:tcPr>
          <w:p w14:paraId="44B1A2B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1432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97" w:hRule="atLeast"/>
          <w:jc w:val="center"/>
        </w:trPr>
        <w:tc>
          <w:tcPr>
            <w:tcW w:w="589" w:type="dxa"/>
            <w:vMerge w:val="continue"/>
            <w:vAlign w:val="center"/>
          </w:tcPr>
          <w:p w14:paraId="634A4A22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736F6E9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教科研项目</w:t>
            </w:r>
          </w:p>
        </w:tc>
        <w:tc>
          <w:tcPr>
            <w:tcW w:w="567" w:type="dxa"/>
            <w:vAlign w:val="center"/>
          </w:tcPr>
          <w:p w14:paraId="389E3E9B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6BAAC86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依据科研处备案</w:t>
            </w:r>
          </w:p>
        </w:tc>
        <w:tc>
          <w:tcPr>
            <w:tcW w:w="1998" w:type="dxa"/>
            <w:gridSpan w:val="2"/>
            <w:vAlign w:val="center"/>
          </w:tcPr>
          <w:p w14:paraId="5D2988BA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内有在研课题（主持、参与均可）得2分，在此基础上，国家级、区级、市级、院级课题，每项主持分别加5分、3分、1分、0.5分，参与分别加3分、2分、0.5分，参与院级课题不加分；正式发表的论文，SCI每篇加4分，EI每篇加3分，核心每篇加2分，EI会议每篇加1分，普刊每篇加0.2分；正式出版的著作、教材，每篇（部）加1分。本项目加满5分为止。</w:t>
            </w:r>
          </w:p>
        </w:tc>
        <w:tc>
          <w:tcPr>
            <w:tcW w:w="845" w:type="dxa"/>
            <w:vAlign w:val="center"/>
          </w:tcPr>
          <w:p w14:paraId="44D271D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6571FC15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科研处年末放假前两周统计完毕，并将结果按部门反馈至各院部，各院部指定专人在年末放假前一周完成该项分数核算</w:t>
            </w:r>
          </w:p>
        </w:tc>
        <w:tc>
          <w:tcPr>
            <w:tcW w:w="771" w:type="dxa"/>
            <w:vAlign w:val="center"/>
          </w:tcPr>
          <w:p w14:paraId="06BC42E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573E9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096" w:hRule="atLeast"/>
          <w:jc w:val="center"/>
        </w:trPr>
        <w:tc>
          <w:tcPr>
            <w:tcW w:w="589" w:type="dxa"/>
            <w:vMerge w:val="restart"/>
            <w:vAlign w:val="center"/>
          </w:tcPr>
          <w:p w14:paraId="415A0E0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教师</w:t>
            </w:r>
          </w:p>
          <w:p w14:paraId="49E102F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发展</w:t>
            </w:r>
          </w:p>
          <w:p w14:paraId="5D8B99F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(10分)</w:t>
            </w:r>
          </w:p>
        </w:tc>
        <w:tc>
          <w:tcPr>
            <w:tcW w:w="687" w:type="dxa"/>
            <w:vAlign w:val="center"/>
          </w:tcPr>
          <w:p w14:paraId="79B06D01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教师</w:t>
            </w:r>
          </w:p>
          <w:p w14:paraId="44B7FFAA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培训</w:t>
            </w:r>
          </w:p>
        </w:tc>
        <w:tc>
          <w:tcPr>
            <w:tcW w:w="567" w:type="dxa"/>
            <w:vAlign w:val="center"/>
          </w:tcPr>
          <w:p w14:paraId="5687A91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4B53659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依据教务处公示的培训学时认定结果</w:t>
            </w:r>
          </w:p>
        </w:tc>
        <w:tc>
          <w:tcPr>
            <w:tcW w:w="1998" w:type="dxa"/>
            <w:gridSpan w:val="2"/>
            <w:vAlign w:val="center"/>
          </w:tcPr>
          <w:p w14:paraId="7C6B7CBA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每个培训学时加0.025分，加满5分为止。</w:t>
            </w:r>
          </w:p>
        </w:tc>
        <w:tc>
          <w:tcPr>
            <w:tcW w:w="845" w:type="dxa"/>
            <w:vAlign w:val="center"/>
          </w:tcPr>
          <w:p w14:paraId="6CE272C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185B13A6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教务处每学期结束前两周统计完毕，并将结果按部门反馈至各院部，各院部指定专人负责分数核算。各院部年末放假前一周完成该项分数核算</w:t>
            </w:r>
          </w:p>
        </w:tc>
        <w:tc>
          <w:tcPr>
            <w:tcW w:w="771" w:type="dxa"/>
            <w:vAlign w:val="center"/>
          </w:tcPr>
          <w:p w14:paraId="05EC90A7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1316A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3" w:hRule="atLeast"/>
          <w:jc w:val="center"/>
        </w:trPr>
        <w:tc>
          <w:tcPr>
            <w:tcW w:w="589" w:type="dxa"/>
            <w:vMerge w:val="continue"/>
            <w:vAlign w:val="center"/>
          </w:tcPr>
          <w:p w14:paraId="0E8DCBA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4A081B3F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获得荣誉和奖励</w:t>
            </w:r>
          </w:p>
        </w:tc>
        <w:tc>
          <w:tcPr>
            <w:tcW w:w="567" w:type="dxa"/>
            <w:vAlign w:val="center"/>
          </w:tcPr>
          <w:p w14:paraId="0345ABF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4A02BD4C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依据党政办、教务处备案</w:t>
            </w:r>
          </w:p>
        </w:tc>
        <w:tc>
          <w:tcPr>
            <w:tcW w:w="1998" w:type="dxa"/>
            <w:gridSpan w:val="2"/>
            <w:vAlign w:val="center"/>
          </w:tcPr>
          <w:p w14:paraId="1CF30D52">
            <w:pPr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度内获得院级以上荣誉称号或奖励（如院级优秀教师、优秀共产党员、优秀党务工作者、优秀教育工作者、优秀班主任、招生就业工作先进个人、社会培训工作先进个人等）得2分，在此基础上，国家级、省级、市级、院级荣誉称号每项分别加5分、3分、1分、0.5分；专业竞赛、评比获奖，国家级一、二、三等奖分别加5分、4分、3分；自治区级一、二、三等奖分别加3分、2分、1分；市级一、二、三等奖分别加1分、0.6分、0.3；校级一、二、三等奖分别加0.3分、0.2分、0.1分。本项目</w:t>
            </w:r>
            <w:r>
              <w:rPr>
                <w:rFonts w:hint="eastAsia" w:ascii="仿宋" w:hAnsi="仿宋" w:eastAsia="仿宋" w:cs="仿宋"/>
                <w:szCs w:val="21"/>
              </w:rPr>
              <w:t>加满5分为止。</w:t>
            </w:r>
          </w:p>
        </w:tc>
        <w:tc>
          <w:tcPr>
            <w:tcW w:w="845" w:type="dxa"/>
            <w:vAlign w:val="center"/>
          </w:tcPr>
          <w:p w14:paraId="22168C2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各院部指定专人负责分数核算</w:t>
            </w:r>
          </w:p>
        </w:tc>
        <w:tc>
          <w:tcPr>
            <w:tcW w:w="1764" w:type="dxa"/>
            <w:vAlign w:val="center"/>
          </w:tcPr>
          <w:p w14:paraId="3CA020DE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党政办、教务处年末放假前两周统计完毕，并将结果按部门反馈至各院部，各院部指定专人在年末放假前一周完成该项分数核算</w:t>
            </w:r>
          </w:p>
        </w:tc>
        <w:tc>
          <w:tcPr>
            <w:tcW w:w="771" w:type="dxa"/>
            <w:vAlign w:val="center"/>
          </w:tcPr>
          <w:p w14:paraId="01F4D406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46658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83" w:hRule="atLeast"/>
          <w:jc w:val="center"/>
        </w:trPr>
        <w:tc>
          <w:tcPr>
            <w:tcW w:w="589" w:type="dxa"/>
            <w:vAlign w:val="center"/>
          </w:tcPr>
          <w:p w14:paraId="134DBFC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系部</w:t>
            </w:r>
          </w:p>
          <w:p w14:paraId="48E01826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评价</w:t>
            </w:r>
          </w:p>
          <w:p w14:paraId="24E864E4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(20分)</w:t>
            </w:r>
          </w:p>
        </w:tc>
        <w:tc>
          <w:tcPr>
            <w:tcW w:w="687" w:type="dxa"/>
            <w:vAlign w:val="center"/>
          </w:tcPr>
          <w:p w14:paraId="370E273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德、能、勤、绩等方面</w:t>
            </w:r>
          </w:p>
        </w:tc>
        <w:tc>
          <w:tcPr>
            <w:tcW w:w="567" w:type="dxa"/>
            <w:vAlign w:val="center"/>
          </w:tcPr>
          <w:p w14:paraId="4FD046AD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20</w:t>
            </w:r>
          </w:p>
        </w:tc>
        <w:tc>
          <w:tcPr>
            <w:tcW w:w="1709" w:type="dxa"/>
            <w:gridSpan w:val="2"/>
            <w:vAlign w:val="center"/>
          </w:tcPr>
          <w:p w14:paraId="1D98658A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依据《附件5：专任教师评价测评票》结果。</w:t>
            </w:r>
          </w:p>
        </w:tc>
        <w:tc>
          <w:tcPr>
            <w:tcW w:w="1990" w:type="dxa"/>
            <w:vAlign w:val="center"/>
          </w:tcPr>
          <w:p w14:paraId="7FDE2526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政治站位、思想政治素质、师德师风情况等；业务素质、业务（工作）能力等；工作态度、工作纪律（教学、科研、班主任及其他工作）等；工作业绩、教学效果、个人业务获奖或指导学生获奖等。</w:t>
            </w:r>
          </w:p>
        </w:tc>
        <w:tc>
          <w:tcPr>
            <w:tcW w:w="845" w:type="dxa"/>
            <w:vAlign w:val="center"/>
          </w:tcPr>
          <w:p w14:paraId="46C06D9E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各院部指定专人负责</w:t>
            </w:r>
          </w:p>
        </w:tc>
        <w:tc>
          <w:tcPr>
            <w:tcW w:w="1764" w:type="dxa"/>
            <w:vAlign w:val="center"/>
          </w:tcPr>
          <w:p w14:paraId="1D263963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年末放假前一周测评完毕</w:t>
            </w:r>
          </w:p>
        </w:tc>
        <w:tc>
          <w:tcPr>
            <w:tcW w:w="771" w:type="dxa"/>
            <w:vAlign w:val="center"/>
          </w:tcPr>
          <w:p w14:paraId="6CF1DA30"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 w14:paraId="463BE337">
      <w:pPr>
        <w:spacing w:line="580" w:lineRule="exact"/>
        <w:ind w:firstLine="640" w:firstLineChars="200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五、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专任教师年课时量标准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94"/>
        <w:gridCol w:w="1294"/>
        <w:gridCol w:w="1294"/>
        <w:gridCol w:w="1294"/>
        <w:gridCol w:w="1294"/>
        <w:gridCol w:w="1295"/>
        <w:gridCol w:w="1295"/>
      </w:tblGrid>
      <w:tr w14:paraId="201C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94" w:type="dxa"/>
          </w:tcPr>
          <w:p w14:paraId="15B9EE63">
            <w:pPr>
              <w:spacing w:line="580" w:lineRule="exact"/>
              <w:jc w:val="center"/>
              <w:rPr>
                <w:rFonts w:hint="eastAsia" w:ascii="黑体" w:hAnsi="黑体" w:eastAsia="黑体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年龄</w:t>
            </w:r>
          </w:p>
        </w:tc>
        <w:tc>
          <w:tcPr>
            <w:tcW w:w="1294" w:type="dxa"/>
          </w:tcPr>
          <w:p w14:paraId="29C5D0DA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55周岁（含）-60周岁</w:t>
            </w:r>
          </w:p>
        </w:tc>
        <w:tc>
          <w:tcPr>
            <w:tcW w:w="1294" w:type="dxa"/>
          </w:tcPr>
          <w:p w14:paraId="3CE269B8">
            <w:pPr>
              <w:spacing w:line="58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50周岁（含）-55周岁</w:t>
            </w:r>
          </w:p>
        </w:tc>
        <w:tc>
          <w:tcPr>
            <w:tcW w:w="1294" w:type="dxa"/>
          </w:tcPr>
          <w:p w14:paraId="223CC16F">
            <w:pPr>
              <w:spacing w:line="58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45周岁（含）-50周岁</w:t>
            </w:r>
          </w:p>
        </w:tc>
        <w:tc>
          <w:tcPr>
            <w:tcW w:w="1294" w:type="dxa"/>
          </w:tcPr>
          <w:p w14:paraId="506AB6CF">
            <w:pPr>
              <w:spacing w:line="58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40周岁（含）-45周岁</w:t>
            </w:r>
          </w:p>
        </w:tc>
        <w:tc>
          <w:tcPr>
            <w:tcW w:w="1295" w:type="dxa"/>
          </w:tcPr>
          <w:p w14:paraId="2955CEFF">
            <w:pPr>
              <w:spacing w:line="58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30周岁（含）-40周岁</w:t>
            </w:r>
          </w:p>
        </w:tc>
        <w:tc>
          <w:tcPr>
            <w:tcW w:w="1295" w:type="dxa"/>
          </w:tcPr>
          <w:p w14:paraId="34006A84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30周岁以下</w:t>
            </w:r>
          </w:p>
        </w:tc>
      </w:tr>
      <w:tr w14:paraId="7DFA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94" w:type="dxa"/>
          </w:tcPr>
          <w:p w14:paraId="086654A5">
            <w:pPr>
              <w:jc w:val="center"/>
              <w:rPr>
                <w:rFonts w:hint="default" w:ascii="黑体" w:hAnsi="黑体" w:eastAsia="黑体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年课时量标准</w:t>
            </w:r>
          </w:p>
        </w:tc>
        <w:tc>
          <w:tcPr>
            <w:tcW w:w="1294" w:type="dxa"/>
          </w:tcPr>
          <w:p w14:paraId="3F28DCDD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160</w:t>
            </w:r>
          </w:p>
        </w:tc>
        <w:tc>
          <w:tcPr>
            <w:tcW w:w="1294" w:type="dxa"/>
          </w:tcPr>
          <w:p w14:paraId="7F8A8DED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1294" w:type="dxa"/>
          </w:tcPr>
          <w:p w14:paraId="1C8B775A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260</w:t>
            </w:r>
          </w:p>
        </w:tc>
        <w:tc>
          <w:tcPr>
            <w:tcW w:w="1294" w:type="dxa"/>
          </w:tcPr>
          <w:p w14:paraId="5B6C521D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300</w:t>
            </w:r>
          </w:p>
        </w:tc>
        <w:tc>
          <w:tcPr>
            <w:tcW w:w="1295" w:type="dxa"/>
          </w:tcPr>
          <w:p w14:paraId="17DAE199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360</w:t>
            </w:r>
          </w:p>
        </w:tc>
        <w:tc>
          <w:tcPr>
            <w:tcW w:w="1295" w:type="dxa"/>
          </w:tcPr>
          <w:p w14:paraId="2F4D70D7">
            <w:pPr>
              <w:spacing w:line="580" w:lineRule="exact"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400</w:t>
            </w:r>
          </w:p>
        </w:tc>
      </w:tr>
    </w:tbl>
    <w:p w14:paraId="47CDDC64">
      <w:pPr>
        <w:spacing w:line="580" w:lineRule="exact"/>
        <w:ind w:firstLine="640" w:firstLineChars="200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仿宋"/>
          <w:sz w:val="32"/>
          <w:szCs w:val="32"/>
        </w:rPr>
        <w:t>评价定等</w:t>
      </w:r>
    </w:p>
    <w:p w14:paraId="7A6E891C"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1.根据上述评价办法，计算被评价者得分，从高分到低分排列，60分（含）以上为合格，其</w:t>
      </w:r>
      <w:bookmarkStart w:id="1" w:name="_GoBack"/>
      <w:bookmarkEnd w:id="1"/>
      <w:r>
        <w:rPr>
          <w:rFonts w:ascii="仿宋_GB2312" w:hAnsi="仿宋" w:eastAsia="仿宋_GB2312" w:cs="仿宋"/>
          <w:sz w:val="32"/>
          <w:szCs w:val="32"/>
        </w:rPr>
        <w:t>中前</w:t>
      </w: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ascii="仿宋_GB2312" w:hAnsi="仿宋" w:eastAsia="仿宋_GB2312" w:cs="仿宋"/>
          <w:sz w:val="32"/>
          <w:szCs w:val="32"/>
        </w:rPr>
        <w:t>%为优秀，前</w:t>
      </w:r>
      <w:r>
        <w:rPr>
          <w:rFonts w:hint="eastAsia" w:ascii="仿宋_GB2312" w:hAnsi="仿宋" w:eastAsia="仿宋_GB2312" w:cs="仿宋"/>
          <w:sz w:val="32"/>
          <w:szCs w:val="32"/>
        </w:rPr>
        <w:t>20</w:t>
      </w:r>
      <w:r>
        <w:rPr>
          <w:rFonts w:ascii="仿宋_GB2312" w:hAnsi="仿宋" w:eastAsia="仿宋_GB2312" w:cs="仿宋"/>
          <w:sz w:val="32"/>
          <w:szCs w:val="32"/>
        </w:rPr>
        <w:t>%-40%为良好，60分以下为不合格。</w:t>
      </w:r>
    </w:p>
    <w:p w14:paraId="6094288D"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2.外派扶贫、挂职锻炼、公派进修等超过1个月的，未达到60分者，按60分计。</w:t>
      </w:r>
    </w:p>
    <w:p w14:paraId="5699593F"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3.年度内有师德失范记录者，一票否决，确定为不合格。</w:t>
      </w:r>
    </w:p>
    <w:sectPr>
      <w:footerReference r:id="rId3" w:type="default"/>
      <w:pgSz w:w="11906" w:h="16838"/>
      <w:pgMar w:top="1474" w:right="1474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4"/>
        <w:szCs w:val="24"/>
      </w:rPr>
      <w:id w:val="391467549"/>
    </w:sdtPr>
    <w:sdtEndPr>
      <w:rPr>
        <w:rFonts w:ascii="宋体" w:hAnsi="宋体" w:eastAsia="宋体"/>
        <w:sz w:val="24"/>
        <w:szCs w:val="24"/>
      </w:rPr>
    </w:sdtEndPr>
    <w:sdtContent>
      <w:p w14:paraId="11D42B34">
        <w:pPr>
          <w:pStyle w:val="3"/>
          <w:jc w:val="center"/>
          <w:rPr>
            <w:rFonts w:ascii="宋体" w:hAnsi="宋体" w:eastAsia="宋体"/>
            <w:sz w:val="24"/>
            <w:szCs w:val="24"/>
          </w:rPr>
        </w:pPr>
        <w:r>
          <w:rPr>
            <w:rFonts w:ascii="宋体" w:hAnsi="宋体" w:eastAsia="宋体"/>
            <w:sz w:val="24"/>
            <w:szCs w:val="24"/>
          </w:rPr>
          <w:fldChar w:fldCharType="begin"/>
        </w:r>
        <w:r>
          <w:rPr>
            <w:rFonts w:ascii="宋体" w:hAnsi="宋体" w:eastAsia="宋体"/>
            <w:sz w:val="24"/>
            <w:szCs w:val="24"/>
          </w:rPr>
          <w:instrText xml:space="preserve">PAGE   \* MERGEFORMAT</w:instrText>
        </w:r>
        <w:r>
          <w:rPr>
            <w:rFonts w:ascii="宋体" w:hAnsi="宋体" w:eastAsia="宋体"/>
            <w:sz w:val="24"/>
            <w:szCs w:val="24"/>
          </w:rPr>
          <w:fldChar w:fldCharType="separate"/>
        </w:r>
        <w:r>
          <w:rPr>
            <w:rFonts w:ascii="宋体" w:hAnsi="宋体" w:eastAsia="宋体"/>
            <w:sz w:val="24"/>
            <w:szCs w:val="24"/>
            <w:lang w:val="zh-CN"/>
          </w:rPr>
          <w:t>1</w:t>
        </w:r>
        <w:r>
          <w:rPr>
            <w:rFonts w:ascii="宋体" w:hAnsi="宋体" w:eastAsia="宋体"/>
            <w:sz w:val="24"/>
            <w:szCs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ABB3B"/>
    <w:multiLevelType w:val="singleLevel"/>
    <w:tmpl w:val="89AABB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B75662"/>
    <w:multiLevelType w:val="singleLevel"/>
    <w:tmpl w:val="EEB75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26B61CB"/>
    <w:multiLevelType w:val="singleLevel"/>
    <w:tmpl w:val="726B61C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hODg5Y2Q1MDgzNTA0ODIyNDk3MTBhMWFmNWQ2YTkifQ=="/>
  </w:docVars>
  <w:rsids>
    <w:rsidRoot w:val="004A0D50"/>
    <w:rsid w:val="00014543"/>
    <w:rsid w:val="00017FD5"/>
    <w:rsid w:val="00020A5A"/>
    <w:rsid w:val="00032DC4"/>
    <w:rsid w:val="00034AF8"/>
    <w:rsid w:val="0004510F"/>
    <w:rsid w:val="00054A39"/>
    <w:rsid w:val="0005531E"/>
    <w:rsid w:val="00056EA8"/>
    <w:rsid w:val="00060521"/>
    <w:rsid w:val="00067038"/>
    <w:rsid w:val="0007052C"/>
    <w:rsid w:val="000918EB"/>
    <w:rsid w:val="000934C1"/>
    <w:rsid w:val="00093F5E"/>
    <w:rsid w:val="00094A53"/>
    <w:rsid w:val="00097BB0"/>
    <w:rsid w:val="000A0748"/>
    <w:rsid w:val="000A2B94"/>
    <w:rsid w:val="000A5C4D"/>
    <w:rsid w:val="000A6BA6"/>
    <w:rsid w:val="000A740C"/>
    <w:rsid w:val="000B2C4D"/>
    <w:rsid w:val="000B4160"/>
    <w:rsid w:val="000B7199"/>
    <w:rsid w:val="000C7377"/>
    <w:rsid w:val="000D4A23"/>
    <w:rsid w:val="000D7141"/>
    <w:rsid w:val="000E7A56"/>
    <w:rsid w:val="000F09DA"/>
    <w:rsid w:val="0010094B"/>
    <w:rsid w:val="001073C2"/>
    <w:rsid w:val="001127CB"/>
    <w:rsid w:val="001148A3"/>
    <w:rsid w:val="00121046"/>
    <w:rsid w:val="00130DA7"/>
    <w:rsid w:val="001415F3"/>
    <w:rsid w:val="0015116F"/>
    <w:rsid w:val="00152EDD"/>
    <w:rsid w:val="001610D0"/>
    <w:rsid w:val="001775DE"/>
    <w:rsid w:val="00177F17"/>
    <w:rsid w:val="00182C26"/>
    <w:rsid w:val="00194A05"/>
    <w:rsid w:val="00196F69"/>
    <w:rsid w:val="001A3FC0"/>
    <w:rsid w:val="001B0E35"/>
    <w:rsid w:val="001D21C9"/>
    <w:rsid w:val="001D3C49"/>
    <w:rsid w:val="001D7B0E"/>
    <w:rsid w:val="001E18DC"/>
    <w:rsid w:val="001E5935"/>
    <w:rsid w:val="001F7611"/>
    <w:rsid w:val="00210E13"/>
    <w:rsid w:val="002168E7"/>
    <w:rsid w:val="00234980"/>
    <w:rsid w:val="00236190"/>
    <w:rsid w:val="002462B9"/>
    <w:rsid w:val="002526E9"/>
    <w:rsid w:val="0026246A"/>
    <w:rsid w:val="0027540C"/>
    <w:rsid w:val="00285459"/>
    <w:rsid w:val="00291EF7"/>
    <w:rsid w:val="002920C8"/>
    <w:rsid w:val="002A1983"/>
    <w:rsid w:val="002A5646"/>
    <w:rsid w:val="002C2FE4"/>
    <w:rsid w:val="002C6222"/>
    <w:rsid w:val="002D37D3"/>
    <w:rsid w:val="002D3B3A"/>
    <w:rsid w:val="002D7F1F"/>
    <w:rsid w:val="002E0D15"/>
    <w:rsid w:val="002F2091"/>
    <w:rsid w:val="002F285D"/>
    <w:rsid w:val="002F700F"/>
    <w:rsid w:val="003043A2"/>
    <w:rsid w:val="0030692E"/>
    <w:rsid w:val="00307C48"/>
    <w:rsid w:val="00310F69"/>
    <w:rsid w:val="003205DF"/>
    <w:rsid w:val="0032071B"/>
    <w:rsid w:val="0032200E"/>
    <w:rsid w:val="0032703C"/>
    <w:rsid w:val="00344C9D"/>
    <w:rsid w:val="0035106B"/>
    <w:rsid w:val="00356ECA"/>
    <w:rsid w:val="0036547A"/>
    <w:rsid w:val="00367694"/>
    <w:rsid w:val="0037178F"/>
    <w:rsid w:val="003A2F19"/>
    <w:rsid w:val="003A53D2"/>
    <w:rsid w:val="003A7E4C"/>
    <w:rsid w:val="003B0572"/>
    <w:rsid w:val="003B2217"/>
    <w:rsid w:val="003B52CC"/>
    <w:rsid w:val="003D02B0"/>
    <w:rsid w:val="003D6F89"/>
    <w:rsid w:val="003E1714"/>
    <w:rsid w:val="003E2075"/>
    <w:rsid w:val="003E3AA8"/>
    <w:rsid w:val="003E7129"/>
    <w:rsid w:val="003F05E3"/>
    <w:rsid w:val="003F1AB4"/>
    <w:rsid w:val="003F2A63"/>
    <w:rsid w:val="003F349C"/>
    <w:rsid w:val="003F7BE5"/>
    <w:rsid w:val="00406F88"/>
    <w:rsid w:val="004071A9"/>
    <w:rsid w:val="004111BC"/>
    <w:rsid w:val="0041341C"/>
    <w:rsid w:val="004136BD"/>
    <w:rsid w:val="00420449"/>
    <w:rsid w:val="004232FA"/>
    <w:rsid w:val="00452607"/>
    <w:rsid w:val="00465256"/>
    <w:rsid w:val="00474B5E"/>
    <w:rsid w:val="0047551F"/>
    <w:rsid w:val="00477D24"/>
    <w:rsid w:val="00480CC7"/>
    <w:rsid w:val="00486C3A"/>
    <w:rsid w:val="00491405"/>
    <w:rsid w:val="00494E40"/>
    <w:rsid w:val="004A0D50"/>
    <w:rsid w:val="004A4BDD"/>
    <w:rsid w:val="004A7FFB"/>
    <w:rsid w:val="004B3B4C"/>
    <w:rsid w:val="004C05BD"/>
    <w:rsid w:val="004C1BDD"/>
    <w:rsid w:val="004C3B38"/>
    <w:rsid w:val="004C47E4"/>
    <w:rsid w:val="004D6BD2"/>
    <w:rsid w:val="004E1F00"/>
    <w:rsid w:val="00502403"/>
    <w:rsid w:val="0051261A"/>
    <w:rsid w:val="00524B02"/>
    <w:rsid w:val="00541A9E"/>
    <w:rsid w:val="0054275B"/>
    <w:rsid w:val="00545BCD"/>
    <w:rsid w:val="00552425"/>
    <w:rsid w:val="00564441"/>
    <w:rsid w:val="00565C98"/>
    <w:rsid w:val="00571259"/>
    <w:rsid w:val="0057553B"/>
    <w:rsid w:val="005779AD"/>
    <w:rsid w:val="005823D4"/>
    <w:rsid w:val="00597592"/>
    <w:rsid w:val="005A3216"/>
    <w:rsid w:val="005A499B"/>
    <w:rsid w:val="005A7120"/>
    <w:rsid w:val="005B1319"/>
    <w:rsid w:val="005B2697"/>
    <w:rsid w:val="005B2999"/>
    <w:rsid w:val="005B782F"/>
    <w:rsid w:val="005C49DD"/>
    <w:rsid w:val="005E4ADF"/>
    <w:rsid w:val="005E6595"/>
    <w:rsid w:val="005F0B2D"/>
    <w:rsid w:val="005F1297"/>
    <w:rsid w:val="00603125"/>
    <w:rsid w:val="00612875"/>
    <w:rsid w:val="006149FC"/>
    <w:rsid w:val="006367D3"/>
    <w:rsid w:val="00636AB9"/>
    <w:rsid w:val="00640165"/>
    <w:rsid w:val="00641FA0"/>
    <w:rsid w:val="00644B8A"/>
    <w:rsid w:val="00645B9F"/>
    <w:rsid w:val="006474B5"/>
    <w:rsid w:val="00647675"/>
    <w:rsid w:val="006567FB"/>
    <w:rsid w:val="00660249"/>
    <w:rsid w:val="00667DCE"/>
    <w:rsid w:val="00670B50"/>
    <w:rsid w:val="006766EC"/>
    <w:rsid w:val="00677859"/>
    <w:rsid w:val="00680A08"/>
    <w:rsid w:val="0069212D"/>
    <w:rsid w:val="006A0048"/>
    <w:rsid w:val="006C350F"/>
    <w:rsid w:val="006D3052"/>
    <w:rsid w:val="006D5BCA"/>
    <w:rsid w:val="006D620F"/>
    <w:rsid w:val="006D6834"/>
    <w:rsid w:val="006E0145"/>
    <w:rsid w:val="006E3898"/>
    <w:rsid w:val="006F313D"/>
    <w:rsid w:val="007011CA"/>
    <w:rsid w:val="00704681"/>
    <w:rsid w:val="00704929"/>
    <w:rsid w:val="0070731E"/>
    <w:rsid w:val="0071460F"/>
    <w:rsid w:val="00722845"/>
    <w:rsid w:val="00726396"/>
    <w:rsid w:val="007443CA"/>
    <w:rsid w:val="007505D6"/>
    <w:rsid w:val="0075389A"/>
    <w:rsid w:val="0075476C"/>
    <w:rsid w:val="0075788C"/>
    <w:rsid w:val="00761480"/>
    <w:rsid w:val="00761C21"/>
    <w:rsid w:val="00771E54"/>
    <w:rsid w:val="00772787"/>
    <w:rsid w:val="00775CEE"/>
    <w:rsid w:val="007818D0"/>
    <w:rsid w:val="00791D91"/>
    <w:rsid w:val="00794417"/>
    <w:rsid w:val="007A278E"/>
    <w:rsid w:val="007A34E5"/>
    <w:rsid w:val="007A3CB6"/>
    <w:rsid w:val="007B084B"/>
    <w:rsid w:val="007B5452"/>
    <w:rsid w:val="007B7256"/>
    <w:rsid w:val="007C0B1C"/>
    <w:rsid w:val="007C621E"/>
    <w:rsid w:val="007C7C22"/>
    <w:rsid w:val="007D28B3"/>
    <w:rsid w:val="007F222D"/>
    <w:rsid w:val="007F361B"/>
    <w:rsid w:val="007F48E7"/>
    <w:rsid w:val="007F725C"/>
    <w:rsid w:val="00801C2B"/>
    <w:rsid w:val="00806988"/>
    <w:rsid w:val="00807396"/>
    <w:rsid w:val="008117DB"/>
    <w:rsid w:val="008234D0"/>
    <w:rsid w:val="00825DFE"/>
    <w:rsid w:val="00836642"/>
    <w:rsid w:val="00840579"/>
    <w:rsid w:val="00841BD6"/>
    <w:rsid w:val="00842B8F"/>
    <w:rsid w:val="00846424"/>
    <w:rsid w:val="008468D9"/>
    <w:rsid w:val="00855412"/>
    <w:rsid w:val="008554FA"/>
    <w:rsid w:val="0085565D"/>
    <w:rsid w:val="0086542F"/>
    <w:rsid w:val="00867E07"/>
    <w:rsid w:val="00875DD8"/>
    <w:rsid w:val="00876C3D"/>
    <w:rsid w:val="008A49F9"/>
    <w:rsid w:val="008B10D1"/>
    <w:rsid w:val="008B59CD"/>
    <w:rsid w:val="008C68EE"/>
    <w:rsid w:val="008D4E8E"/>
    <w:rsid w:val="008D60B4"/>
    <w:rsid w:val="008D65CB"/>
    <w:rsid w:val="008D760A"/>
    <w:rsid w:val="008E5330"/>
    <w:rsid w:val="008F0287"/>
    <w:rsid w:val="008F11AA"/>
    <w:rsid w:val="008F14AD"/>
    <w:rsid w:val="008F1EC1"/>
    <w:rsid w:val="008F2A75"/>
    <w:rsid w:val="008F556B"/>
    <w:rsid w:val="009027D4"/>
    <w:rsid w:val="00906BD4"/>
    <w:rsid w:val="00912E70"/>
    <w:rsid w:val="0091579C"/>
    <w:rsid w:val="00917301"/>
    <w:rsid w:val="009176A1"/>
    <w:rsid w:val="009228AB"/>
    <w:rsid w:val="009231EE"/>
    <w:rsid w:val="0093065E"/>
    <w:rsid w:val="009310B2"/>
    <w:rsid w:val="00931248"/>
    <w:rsid w:val="009315A8"/>
    <w:rsid w:val="009321D1"/>
    <w:rsid w:val="00941B13"/>
    <w:rsid w:val="00941D11"/>
    <w:rsid w:val="009451B4"/>
    <w:rsid w:val="00963337"/>
    <w:rsid w:val="0096484D"/>
    <w:rsid w:val="009662E3"/>
    <w:rsid w:val="00967B0E"/>
    <w:rsid w:val="00970482"/>
    <w:rsid w:val="00971375"/>
    <w:rsid w:val="00971D88"/>
    <w:rsid w:val="00987BB0"/>
    <w:rsid w:val="009954D0"/>
    <w:rsid w:val="009979A3"/>
    <w:rsid w:val="009A7415"/>
    <w:rsid w:val="009A7997"/>
    <w:rsid w:val="009B69FC"/>
    <w:rsid w:val="009C0688"/>
    <w:rsid w:val="009C139F"/>
    <w:rsid w:val="009D09CE"/>
    <w:rsid w:val="009D5AB1"/>
    <w:rsid w:val="009E0434"/>
    <w:rsid w:val="009F080E"/>
    <w:rsid w:val="00A11652"/>
    <w:rsid w:val="00A141A0"/>
    <w:rsid w:val="00A146B2"/>
    <w:rsid w:val="00A23AA4"/>
    <w:rsid w:val="00A34754"/>
    <w:rsid w:val="00A356D9"/>
    <w:rsid w:val="00A36AC8"/>
    <w:rsid w:val="00A43438"/>
    <w:rsid w:val="00A449D1"/>
    <w:rsid w:val="00A53A6A"/>
    <w:rsid w:val="00A57BA0"/>
    <w:rsid w:val="00A646CB"/>
    <w:rsid w:val="00A701CB"/>
    <w:rsid w:val="00A808E2"/>
    <w:rsid w:val="00A83469"/>
    <w:rsid w:val="00A84A4D"/>
    <w:rsid w:val="00A85269"/>
    <w:rsid w:val="00A91FEB"/>
    <w:rsid w:val="00AB7F48"/>
    <w:rsid w:val="00AC0AAF"/>
    <w:rsid w:val="00AC256B"/>
    <w:rsid w:val="00AC44C6"/>
    <w:rsid w:val="00AC713E"/>
    <w:rsid w:val="00AE14F5"/>
    <w:rsid w:val="00AE3003"/>
    <w:rsid w:val="00AE33D7"/>
    <w:rsid w:val="00AF39F7"/>
    <w:rsid w:val="00B16AA9"/>
    <w:rsid w:val="00B20047"/>
    <w:rsid w:val="00B2373B"/>
    <w:rsid w:val="00B2768C"/>
    <w:rsid w:val="00B32A67"/>
    <w:rsid w:val="00B334D7"/>
    <w:rsid w:val="00B3414A"/>
    <w:rsid w:val="00B35E13"/>
    <w:rsid w:val="00B3679B"/>
    <w:rsid w:val="00B370A2"/>
    <w:rsid w:val="00B37438"/>
    <w:rsid w:val="00B44DD5"/>
    <w:rsid w:val="00B47416"/>
    <w:rsid w:val="00B47BF5"/>
    <w:rsid w:val="00B576A6"/>
    <w:rsid w:val="00B6566B"/>
    <w:rsid w:val="00B70249"/>
    <w:rsid w:val="00B71F51"/>
    <w:rsid w:val="00B74735"/>
    <w:rsid w:val="00B76A27"/>
    <w:rsid w:val="00B76D4B"/>
    <w:rsid w:val="00B81E66"/>
    <w:rsid w:val="00B844DE"/>
    <w:rsid w:val="00B8733F"/>
    <w:rsid w:val="00B93732"/>
    <w:rsid w:val="00B964AD"/>
    <w:rsid w:val="00BA2D4C"/>
    <w:rsid w:val="00BA6F61"/>
    <w:rsid w:val="00BA7202"/>
    <w:rsid w:val="00BB2E3E"/>
    <w:rsid w:val="00BC5145"/>
    <w:rsid w:val="00BC70E2"/>
    <w:rsid w:val="00BD07F5"/>
    <w:rsid w:val="00BD0E6C"/>
    <w:rsid w:val="00BD2AC6"/>
    <w:rsid w:val="00BD36B8"/>
    <w:rsid w:val="00BD6C87"/>
    <w:rsid w:val="00BE05DB"/>
    <w:rsid w:val="00BF4368"/>
    <w:rsid w:val="00BF6146"/>
    <w:rsid w:val="00C0067E"/>
    <w:rsid w:val="00C00A3A"/>
    <w:rsid w:val="00C0307D"/>
    <w:rsid w:val="00C13692"/>
    <w:rsid w:val="00C27266"/>
    <w:rsid w:val="00C40AA9"/>
    <w:rsid w:val="00C442E1"/>
    <w:rsid w:val="00C50808"/>
    <w:rsid w:val="00C51AA3"/>
    <w:rsid w:val="00C55ED3"/>
    <w:rsid w:val="00C57BD9"/>
    <w:rsid w:val="00C648D0"/>
    <w:rsid w:val="00C85638"/>
    <w:rsid w:val="00C95D19"/>
    <w:rsid w:val="00CA6CEC"/>
    <w:rsid w:val="00CB4F83"/>
    <w:rsid w:val="00CB5E8E"/>
    <w:rsid w:val="00CB6D0F"/>
    <w:rsid w:val="00CB6D93"/>
    <w:rsid w:val="00CB7CDD"/>
    <w:rsid w:val="00CD5EF8"/>
    <w:rsid w:val="00CD71B7"/>
    <w:rsid w:val="00CE47F0"/>
    <w:rsid w:val="00CE7D9A"/>
    <w:rsid w:val="00CF0A30"/>
    <w:rsid w:val="00CF104C"/>
    <w:rsid w:val="00CF73FB"/>
    <w:rsid w:val="00D04203"/>
    <w:rsid w:val="00D177A5"/>
    <w:rsid w:val="00D229C1"/>
    <w:rsid w:val="00D239FE"/>
    <w:rsid w:val="00D26B3B"/>
    <w:rsid w:val="00D27701"/>
    <w:rsid w:val="00D279E9"/>
    <w:rsid w:val="00D35127"/>
    <w:rsid w:val="00D3549C"/>
    <w:rsid w:val="00D444F7"/>
    <w:rsid w:val="00D44EF0"/>
    <w:rsid w:val="00D52599"/>
    <w:rsid w:val="00D62678"/>
    <w:rsid w:val="00D63739"/>
    <w:rsid w:val="00D64F3C"/>
    <w:rsid w:val="00D77E2F"/>
    <w:rsid w:val="00D85EB1"/>
    <w:rsid w:val="00D92B84"/>
    <w:rsid w:val="00DA5361"/>
    <w:rsid w:val="00DB1B13"/>
    <w:rsid w:val="00DB511F"/>
    <w:rsid w:val="00DC15E6"/>
    <w:rsid w:val="00DC267B"/>
    <w:rsid w:val="00DC5D21"/>
    <w:rsid w:val="00DD6474"/>
    <w:rsid w:val="00DE2156"/>
    <w:rsid w:val="00DE2847"/>
    <w:rsid w:val="00DE2E6B"/>
    <w:rsid w:val="00DE5233"/>
    <w:rsid w:val="00DE7DE9"/>
    <w:rsid w:val="00DF24B7"/>
    <w:rsid w:val="00DF29B5"/>
    <w:rsid w:val="00DF6C18"/>
    <w:rsid w:val="00E03FDF"/>
    <w:rsid w:val="00E055DC"/>
    <w:rsid w:val="00E05857"/>
    <w:rsid w:val="00E12E9B"/>
    <w:rsid w:val="00E17AB2"/>
    <w:rsid w:val="00E2375F"/>
    <w:rsid w:val="00E23D91"/>
    <w:rsid w:val="00E26319"/>
    <w:rsid w:val="00E30A2F"/>
    <w:rsid w:val="00E331AD"/>
    <w:rsid w:val="00E35748"/>
    <w:rsid w:val="00E4331A"/>
    <w:rsid w:val="00E435E5"/>
    <w:rsid w:val="00E450D4"/>
    <w:rsid w:val="00E46962"/>
    <w:rsid w:val="00E47183"/>
    <w:rsid w:val="00E47AA2"/>
    <w:rsid w:val="00E47E47"/>
    <w:rsid w:val="00E508E8"/>
    <w:rsid w:val="00E5446F"/>
    <w:rsid w:val="00E61B8E"/>
    <w:rsid w:val="00E674DB"/>
    <w:rsid w:val="00E7417F"/>
    <w:rsid w:val="00E75DFF"/>
    <w:rsid w:val="00E766FA"/>
    <w:rsid w:val="00E80A7E"/>
    <w:rsid w:val="00E85B00"/>
    <w:rsid w:val="00E929E1"/>
    <w:rsid w:val="00E97D73"/>
    <w:rsid w:val="00EA5E7C"/>
    <w:rsid w:val="00EA5FE6"/>
    <w:rsid w:val="00EB397C"/>
    <w:rsid w:val="00EB750D"/>
    <w:rsid w:val="00ED468F"/>
    <w:rsid w:val="00ED5A87"/>
    <w:rsid w:val="00EE5DC9"/>
    <w:rsid w:val="00EF0CA5"/>
    <w:rsid w:val="00F00B8D"/>
    <w:rsid w:val="00F034A1"/>
    <w:rsid w:val="00F17BA1"/>
    <w:rsid w:val="00F2789E"/>
    <w:rsid w:val="00F340E6"/>
    <w:rsid w:val="00F41018"/>
    <w:rsid w:val="00F430A3"/>
    <w:rsid w:val="00F43645"/>
    <w:rsid w:val="00F470E5"/>
    <w:rsid w:val="00F56C7C"/>
    <w:rsid w:val="00F723A1"/>
    <w:rsid w:val="00F83325"/>
    <w:rsid w:val="00F90542"/>
    <w:rsid w:val="00F90692"/>
    <w:rsid w:val="00F94A28"/>
    <w:rsid w:val="00F95BC7"/>
    <w:rsid w:val="00FA14BE"/>
    <w:rsid w:val="00FA2771"/>
    <w:rsid w:val="00FA49FA"/>
    <w:rsid w:val="00FA5A5A"/>
    <w:rsid w:val="00FA623C"/>
    <w:rsid w:val="00FA75BF"/>
    <w:rsid w:val="00FC5147"/>
    <w:rsid w:val="00FC75B5"/>
    <w:rsid w:val="013F022D"/>
    <w:rsid w:val="05270E83"/>
    <w:rsid w:val="06181A8E"/>
    <w:rsid w:val="06A94081"/>
    <w:rsid w:val="06C5405B"/>
    <w:rsid w:val="07121638"/>
    <w:rsid w:val="0A6B2CC9"/>
    <w:rsid w:val="0B12246D"/>
    <w:rsid w:val="0CA71593"/>
    <w:rsid w:val="0CAF3E3C"/>
    <w:rsid w:val="0CED081D"/>
    <w:rsid w:val="0E7E6030"/>
    <w:rsid w:val="0EAD5DB4"/>
    <w:rsid w:val="10CF306C"/>
    <w:rsid w:val="10F85E8E"/>
    <w:rsid w:val="119F581C"/>
    <w:rsid w:val="122D457F"/>
    <w:rsid w:val="12931A38"/>
    <w:rsid w:val="14272149"/>
    <w:rsid w:val="16F122B1"/>
    <w:rsid w:val="17A26EA1"/>
    <w:rsid w:val="195626AF"/>
    <w:rsid w:val="1C3310F9"/>
    <w:rsid w:val="1D017BE0"/>
    <w:rsid w:val="1D033CEF"/>
    <w:rsid w:val="1F8A5394"/>
    <w:rsid w:val="20EA6ACF"/>
    <w:rsid w:val="224C7615"/>
    <w:rsid w:val="226F6638"/>
    <w:rsid w:val="22B77B61"/>
    <w:rsid w:val="26F75DBC"/>
    <w:rsid w:val="29AF78FF"/>
    <w:rsid w:val="2ADD7B43"/>
    <w:rsid w:val="2AE953E4"/>
    <w:rsid w:val="2B3D1C4F"/>
    <w:rsid w:val="2B67513A"/>
    <w:rsid w:val="2C604904"/>
    <w:rsid w:val="2C750631"/>
    <w:rsid w:val="2D062DD6"/>
    <w:rsid w:val="2D290140"/>
    <w:rsid w:val="2D5D3ED8"/>
    <w:rsid w:val="2DB5111C"/>
    <w:rsid w:val="2E403262"/>
    <w:rsid w:val="2EB56445"/>
    <w:rsid w:val="2F00056E"/>
    <w:rsid w:val="2F62702F"/>
    <w:rsid w:val="306C5C75"/>
    <w:rsid w:val="31673D0F"/>
    <w:rsid w:val="31B24AB8"/>
    <w:rsid w:val="324415C6"/>
    <w:rsid w:val="3385230F"/>
    <w:rsid w:val="35E63CCE"/>
    <w:rsid w:val="3651541A"/>
    <w:rsid w:val="36D65F02"/>
    <w:rsid w:val="37FA515E"/>
    <w:rsid w:val="38547174"/>
    <w:rsid w:val="388F17E8"/>
    <w:rsid w:val="3932721C"/>
    <w:rsid w:val="39400532"/>
    <w:rsid w:val="3AC778C6"/>
    <w:rsid w:val="3AE867E5"/>
    <w:rsid w:val="3BC253E2"/>
    <w:rsid w:val="3EB110E5"/>
    <w:rsid w:val="4173433C"/>
    <w:rsid w:val="417A0847"/>
    <w:rsid w:val="42091B81"/>
    <w:rsid w:val="465426B9"/>
    <w:rsid w:val="483308D7"/>
    <w:rsid w:val="487D7F77"/>
    <w:rsid w:val="4945685C"/>
    <w:rsid w:val="4B1C7F3A"/>
    <w:rsid w:val="4B850D67"/>
    <w:rsid w:val="4BFC5788"/>
    <w:rsid w:val="4D3808E6"/>
    <w:rsid w:val="4E7B1AA6"/>
    <w:rsid w:val="4EF941D3"/>
    <w:rsid w:val="519C62B5"/>
    <w:rsid w:val="53210E04"/>
    <w:rsid w:val="544E44CA"/>
    <w:rsid w:val="54BB67A8"/>
    <w:rsid w:val="55684A08"/>
    <w:rsid w:val="580226F5"/>
    <w:rsid w:val="586145C9"/>
    <w:rsid w:val="5AE472E2"/>
    <w:rsid w:val="5AFE3B8D"/>
    <w:rsid w:val="5BB32B28"/>
    <w:rsid w:val="5C4206AF"/>
    <w:rsid w:val="5EA2366C"/>
    <w:rsid w:val="5F6E49D9"/>
    <w:rsid w:val="5FE06517"/>
    <w:rsid w:val="608B1D2F"/>
    <w:rsid w:val="60962A9C"/>
    <w:rsid w:val="625D1D8F"/>
    <w:rsid w:val="63350659"/>
    <w:rsid w:val="63E84DEF"/>
    <w:rsid w:val="64B75AD2"/>
    <w:rsid w:val="6585330A"/>
    <w:rsid w:val="67034F77"/>
    <w:rsid w:val="676C3CBA"/>
    <w:rsid w:val="678B5A12"/>
    <w:rsid w:val="680622D3"/>
    <w:rsid w:val="68437BCE"/>
    <w:rsid w:val="6B203323"/>
    <w:rsid w:val="6D042B23"/>
    <w:rsid w:val="6F59183E"/>
    <w:rsid w:val="72266BCA"/>
    <w:rsid w:val="740E4FA9"/>
    <w:rsid w:val="74353453"/>
    <w:rsid w:val="747123B2"/>
    <w:rsid w:val="77E633E8"/>
    <w:rsid w:val="798D3ACA"/>
    <w:rsid w:val="79E17CC1"/>
    <w:rsid w:val="7BE7405F"/>
    <w:rsid w:val="7E01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character" w:styleId="12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1DF67-372D-4928-BB72-0396C87372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2710</Words>
  <Characters>2792</Characters>
  <Lines>20</Lines>
  <Paragraphs>5</Paragraphs>
  <TotalTime>3</TotalTime>
  <ScaleCrop>false</ScaleCrop>
  <LinksUpToDate>false</LinksUpToDate>
  <CharactersWithSpaces>2794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2024-06-29T09:23:00Z</dcterms:created>
  <dc:creator>zhaoyahong</dc:creator>
  <cp:lastModifiedBy>花儿</cp:lastModifiedBy>
  <cp:lastPrinted>2024-08-23T12:15:00Z</cp:lastPrinted>
  <dcterms:modified xsi:type="dcterms:W3CDTF">2024-08-27T05:45:42Z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53D1460BBF054AC298CDD151A69E194F</vt:lpwstr>
  </property>
</Properties>
</file>